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9EDE14" Type="http://schemas.openxmlformats.org/officeDocument/2006/relationships/officeDocument" Target="/word/document.xml" /><Relationship Id="coreRA9EDE1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uchwały Nr LXVII/491/2023</w:t>
        <w:br w:type="textWrapping"/>
        <w:t>Rady Miejskiej w Kcyni</w:t>
        <w:br w:type="textWrapping"/>
        <w:t>z dnia 26 października 2023 r.</w:t>
      </w:r>
    </w:p>
    <w:p>
      <w:pPr>
        <w:pStyle w:val="P1"/>
      </w:pPr>
      <w:r>
        <w:t>Zmiany w planie dochodów Gminy Kcynia w 2023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600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4 468 093,90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-325 349,00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4 142 744,90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60016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Drogi publiczne gminne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4 301 375,12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-325 349,00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3 976 026,12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2170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otrzymane z państwowych funduszy celowych na realizację zadań bieżących jednostek sektora finansów publicznych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975 279,00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-325 349,00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649 930,00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9 159 881,05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-6 949,92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9 152 931,13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75011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159 881,05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-6 949,92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152 931,13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159 800,00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-6 954,00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152 846,00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81,05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4,08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85,13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145 896,00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146 136,00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75108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Wybory do Sejmu i Senatu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141 619,00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141 859,00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141 619,00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141 859,00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156 464,00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15 696,00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172 160,00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75495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156 464,00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15 696,00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172 160,00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156 464,00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15 696,00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172 160,00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36 590 693,66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18 526,00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36 609 219,66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75814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Różne rozliczenia finansowe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470 601,81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18 526,00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489 127,81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205 907,00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18 526,00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224 433,00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1 041 609,05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25 840,00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1 067 449,05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80101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Szkoły podstawowe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148 405,32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25 840,00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174 245,32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0830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usług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31 500,00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25 840,00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57 340,00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3 070 783,08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21 032,00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3 091 815,08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85219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358 114,00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21 032,00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379 146,00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2030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219 900,00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21 032,00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240 932,00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Rodzina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9 334 362,00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-100,00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9 334 262,00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85595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18 924,00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-100,00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18 824,00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18 924,00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-100,00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18 824,00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12 301 807,84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1 950,00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12 303 757,84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90019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10 000,00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1 950,00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11 950,00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2460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1 950,00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1 950,00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101 806 994,27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-249 114,92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101 557 879,35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 w:beforeAutospacing="0" w:afterAutospacing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 w:beforeAutospacing="0" w:afterAutospacing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2023-11-03T07:19:57Z</dcterms:created>
  <cp:lastModifiedBy>Patrycja Kołos</cp:lastModifiedBy>
  <dcterms:modified xsi:type="dcterms:W3CDTF">2023-11-03T10:05:13Z</dcterms:modified>
  <cp:revision>18</cp:revision>
</cp:coreProperties>
</file>