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C1554BA" Type="http://schemas.openxmlformats.org/officeDocument/2006/relationships/officeDocument" Target="/word/document.xml" /><Relationship Id="coreRC1554B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keepNext w:val="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UCHWAŁA NR </w:t>
      </w:r>
      <w:r>
        <w:rPr>
          <w:rFonts w:ascii="Times New Roman" w:hAnsi="Times New Roman"/>
          <w:sz w:val="22"/>
          <w:lang w:val="pl-PL" w:bidi="pl-PL" w:eastAsia="pl-PL"/>
        </w:rPr>
        <w:t>...</w:t>
      </w:r>
      <w:r>
        <w:rPr>
          <w:rFonts w:ascii="Times New Roman" w:hAnsi="Times New Roman"/>
          <w:sz w:val="22"/>
        </w:rPr>
        <w:t>/</w:t>
      </w:r>
      <w:r>
        <w:rPr>
          <w:rFonts w:ascii="Times New Roman" w:hAnsi="Times New Roman"/>
          <w:sz w:val="22"/>
          <w:lang w:val="pl-PL" w:bidi="pl-PL" w:eastAsia="pl-PL"/>
        </w:rPr>
        <w:t>.../</w:t>
      </w:r>
      <w:r>
        <w:rPr>
          <w:rFonts w:ascii="Times New Roman" w:hAnsi="Times New Roman"/>
          <w:sz w:val="22"/>
        </w:rPr>
        <w:t>202</w:t>
      </w:r>
      <w:r>
        <w:rPr>
          <w:rFonts w:ascii="Times New Roman" w:hAnsi="Times New Roman"/>
          <w:sz w:val="22"/>
          <w:lang w:val="pl-PL" w:bidi="pl-PL" w:eastAsia="pl-PL"/>
        </w:rPr>
        <w:t>3</w:t>
      </w:r>
      <w:r>
        <w:rPr>
          <w:rFonts w:ascii="Times New Roman" w:hAnsi="Times New Roman"/>
          <w:sz w:val="22"/>
        </w:rPr>
        <w:br w:type="textWrapping"/>
        <w:t xml:space="preserve">Rady </w:t>
      </w:r>
      <w:r>
        <w:rPr>
          <w:rFonts w:ascii="Times New Roman" w:hAnsi="Times New Roman"/>
          <w:sz w:val="22"/>
          <w:lang w:val="pl-PL" w:bidi="pl-PL" w:eastAsia="pl-PL"/>
        </w:rPr>
        <w:t>Miejskiej w Kcyni</w:t>
      </w:r>
    </w:p>
    <w:p>
      <w:pPr>
        <w:pStyle w:val="P2"/>
        <w:keepNext w:val="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 dnia ...</w:t>
      </w:r>
      <w:r>
        <w:rPr>
          <w:rFonts w:ascii="Times New Roman" w:hAnsi="Times New Roman"/>
          <w:sz w:val="22"/>
          <w:lang w:val="pl-PL" w:bidi="pl-PL" w:eastAsia="pl-PL"/>
        </w:rPr>
        <w:t xml:space="preserve"> grudnia 2023 r.</w:t>
      </w:r>
    </w:p>
    <w:p>
      <w:pPr>
        <w:pStyle w:val="P2"/>
        <w:keepNext w:val="1"/>
        <w:rPr>
          <w:rFonts w:ascii="Times New Roman" w:hAnsi="Times New Roman"/>
          <w:b w:val="1"/>
          <w:sz w:val="22"/>
        </w:rPr>
      </w:pPr>
      <w:r>
        <w:rPr>
          <w:rFonts w:ascii="Times New Roman" w:hAnsi="Times New Roman"/>
          <w:b w:val="1"/>
          <w:sz w:val="22"/>
        </w:rPr>
        <w:t>w sprawie Wieloletniej Prognozy Finansowej Gminy Kcynia na lata 202</w:t>
      </w:r>
      <w:r>
        <w:rPr>
          <w:rFonts w:ascii="Times New Roman" w:hAnsi="Times New Roman"/>
          <w:b w:val="1"/>
          <w:sz w:val="22"/>
          <w:lang w:val="pl-PL" w:bidi="pl-PL" w:eastAsia="pl-PL"/>
        </w:rPr>
        <w:t>4</w:t>
      </w:r>
      <w:r>
        <w:rPr>
          <w:rFonts w:ascii="Times New Roman" w:hAnsi="Times New Roman"/>
          <w:b w:val="1"/>
          <w:sz w:val="22"/>
        </w:rPr>
        <w:t>-20</w:t>
      </w:r>
      <w:r>
        <w:rPr>
          <w:rFonts w:ascii="Times New Roman" w:hAnsi="Times New Roman"/>
          <w:b w:val="1"/>
          <w:sz w:val="22"/>
          <w:lang w:val="pl-PL" w:bidi="pl-PL" w:eastAsia="pl-PL"/>
        </w:rPr>
        <w:t>36</w:t>
      </w:r>
    </w:p>
    <w:p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Na podstawie art. 230 ust. 6 ustawy z dnia 27 sierpnia 2009 roku o finansach publicznych (t.j. Dz. U. z 202</w:t>
      </w:r>
      <w:r>
        <w:rPr>
          <w:rFonts w:ascii="Times New Roman" w:hAnsi="Times New Roman"/>
          <w:sz w:val="22"/>
          <w:lang w:val="pl-PL" w:bidi="pl-PL" w:eastAsia="pl-PL"/>
        </w:rPr>
        <w:t>3</w:t>
      </w:r>
      <w:r>
        <w:rPr>
          <w:rFonts w:ascii="Times New Roman" w:hAnsi="Times New Roman"/>
          <w:sz w:val="22"/>
        </w:rPr>
        <w:t xml:space="preserve"> r. poz. 1</w:t>
      </w:r>
      <w:r>
        <w:rPr>
          <w:rFonts w:ascii="Times New Roman" w:hAnsi="Times New Roman"/>
          <w:sz w:val="22"/>
          <w:lang w:val="pl-PL" w:bidi="pl-PL" w:eastAsia="pl-PL"/>
        </w:rPr>
        <w:t>270</w:t>
      </w:r>
      <w:r>
        <w:rPr>
          <w:rFonts w:ascii="Times New Roman" w:hAnsi="Times New Roman"/>
          <w:sz w:val="22"/>
        </w:rPr>
        <w:t xml:space="preserve"> z późn. zm.) oraz art. 111 ust. 3 ustawy z dnia 12 marca 2022 r. o pomocy obywatelom Ukrainy w związku z konfliktem zbrojnym na terytorium tego państwa (t.j. Dz. U. z 202</w:t>
      </w:r>
      <w:r>
        <w:rPr>
          <w:rFonts w:ascii="Times New Roman" w:hAnsi="Times New Roman"/>
          <w:sz w:val="22"/>
          <w:lang w:val="pl-PL" w:bidi="pl-PL" w:eastAsia="pl-PL"/>
        </w:rPr>
        <w:t>3</w:t>
      </w:r>
      <w:r>
        <w:rPr>
          <w:rFonts w:ascii="Times New Roman" w:hAnsi="Times New Roman"/>
          <w:sz w:val="22"/>
        </w:rPr>
        <w:t xml:space="preserve"> r. poz. </w:t>
      </w:r>
      <w:r>
        <w:rPr>
          <w:rFonts w:ascii="Times New Roman" w:hAnsi="Times New Roman"/>
          <w:sz w:val="22"/>
          <w:lang w:val="pl-PL" w:bidi="pl-PL" w:eastAsia="pl-PL"/>
        </w:rPr>
        <w:t>103</w:t>
      </w:r>
      <w:r>
        <w:rPr>
          <w:rFonts w:ascii="Times New Roman" w:hAnsi="Times New Roman"/>
          <w:sz w:val="22"/>
        </w:rPr>
        <w:t xml:space="preserve"> z późn. zm.) </w:t>
      </w:r>
      <w:r>
        <w:rPr>
          <w:rFonts w:ascii="Times New Roman" w:hAnsi="Times New Roman"/>
          <w:sz w:val="22"/>
          <w:lang w:val="pl-PL" w:bidi="pl-PL" w:eastAsia="pl-PL"/>
        </w:rPr>
        <w:t xml:space="preserve">Rada Miejska w Kcyni </w:t>
      </w:r>
      <w:r>
        <w:rPr>
          <w:rFonts w:ascii="Times New Roman" w:hAnsi="Times New Roman"/>
          <w:sz w:val="22"/>
        </w:rPr>
        <w:t>uchwala</w:t>
      </w:r>
      <w:r>
        <w:rPr>
          <w:rFonts w:ascii="Times New Roman" w:hAnsi="Times New Roman"/>
          <w:sz w:val="22"/>
        </w:rPr>
        <w:t>, co następuje:</w:t>
      </w:r>
    </w:p>
    <w:p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§1.</w:t>
        <w:tab/>
        <w:t>Uchwala się Wieloletnią Prognozę Finansową Gminy Kcynia na lata 202</w:t>
      </w:r>
      <w:r>
        <w:rPr>
          <w:rFonts w:ascii="Times New Roman" w:hAnsi="Times New Roman"/>
          <w:sz w:val="22"/>
          <w:lang w:val="pl-PL" w:bidi="pl-PL" w:eastAsia="pl-PL"/>
        </w:rPr>
        <w:t>4</w:t>
      </w:r>
      <w:r>
        <w:rPr>
          <w:rFonts w:ascii="Times New Roman" w:hAnsi="Times New Roman"/>
          <w:sz w:val="22"/>
        </w:rPr>
        <w:t>-20</w:t>
      </w:r>
      <w:r>
        <w:rPr>
          <w:rFonts w:ascii="Times New Roman" w:hAnsi="Times New Roman"/>
          <w:sz w:val="22"/>
          <w:lang w:val="pl-PL" w:bidi="pl-PL" w:eastAsia="pl-PL"/>
        </w:rPr>
        <w:t>36</w:t>
      </w:r>
      <w:r>
        <w:rPr>
          <w:rFonts w:ascii="Times New Roman" w:hAnsi="Times New Roman"/>
          <w:sz w:val="22"/>
        </w:rPr>
        <w:t xml:space="preserve">, zgodnie z załącznikiem </w:t>
      </w:r>
      <w:r>
        <w:rPr>
          <w:rFonts w:ascii="Times New Roman" w:hAnsi="Times New Roman"/>
          <w:sz w:val="22"/>
          <w:lang w:val="pl-PL" w:bidi="pl-PL" w:eastAsia="pl-PL"/>
        </w:rPr>
        <w:t>N</w:t>
      </w:r>
      <w:r>
        <w:rPr>
          <w:rFonts w:ascii="Times New Roman" w:hAnsi="Times New Roman"/>
          <w:sz w:val="22"/>
        </w:rPr>
        <w:t>r 1 do uchwały.</w:t>
      </w:r>
    </w:p>
    <w:p>
      <w:pPr>
        <w:jc w:val="both"/>
        <w:rPr>
          <w:rFonts w:ascii="Times New Roman" w:hAnsi="Times New Roman"/>
          <w:sz w:val="22"/>
        </w:rPr>
      </w:pPr>
    </w:p>
    <w:p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§2.</w:t>
        <w:tab/>
        <w:t xml:space="preserve">Uchwala się wykaz wieloletnich przedsięwzięć Gminy Kcynia, obejmujący limity wydatków w poszczególnych latach oraz limity zobowiązań z nimi związane, zgodnie z załącznikiem </w:t>
      </w:r>
      <w:r>
        <w:rPr>
          <w:rFonts w:ascii="Times New Roman" w:hAnsi="Times New Roman"/>
          <w:sz w:val="22"/>
          <w:lang w:val="pl-PL" w:bidi="pl-PL" w:eastAsia="pl-PL"/>
        </w:rPr>
        <w:t>N</w:t>
      </w:r>
      <w:r>
        <w:rPr>
          <w:rFonts w:ascii="Times New Roman" w:hAnsi="Times New Roman"/>
          <w:sz w:val="22"/>
        </w:rPr>
        <w:t>r 2 do uchwały.</w:t>
      </w:r>
    </w:p>
    <w:p>
      <w:pPr>
        <w:jc w:val="both"/>
        <w:rPr>
          <w:rFonts w:ascii="Times New Roman" w:hAnsi="Times New Roman"/>
          <w:sz w:val="22"/>
        </w:rPr>
      </w:pPr>
    </w:p>
    <w:p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§3.</w:t>
        <w:tab/>
        <w:t xml:space="preserve">1. Upoważnia się </w:t>
      </w:r>
      <w:r>
        <w:rPr>
          <w:rFonts w:ascii="Times New Roman" w:hAnsi="Times New Roman"/>
          <w:sz w:val="22"/>
          <w:lang w:val="pl-PL" w:bidi="pl-PL" w:eastAsia="pl-PL"/>
        </w:rPr>
        <w:t>Burmistrza Kcyni</w:t>
      </w:r>
      <w:r>
        <w:rPr>
          <w:rFonts w:ascii="Times New Roman" w:hAnsi="Times New Roman"/>
          <w:sz w:val="22"/>
        </w:rPr>
        <w:t xml:space="preserve"> do zaciągania zobowiązań:</w:t>
      </w:r>
    </w:p>
    <w:p>
      <w:pPr>
        <w:pStyle w:val="P3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związanych z realizacją wieloletnich przedsięwzięć do wysokości limitów określonych w załączniku nr 2 do uchwały;</w:t>
      </w:r>
    </w:p>
    <w:p>
      <w:pPr>
        <w:pStyle w:val="P3"/>
        <w:numPr>
          <w:ilvl w:val="0"/>
          <w:numId w:val="1"/>
        </w:num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 tytułu umów, których realizacja w roku budżetowym i latach następnych jest niezbędna dla zapewnienia ciągłości działania Gminy i których terminy płatności wykraczają poza rok budżetowy.</w:t>
      </w:r>
    </w:p>
    <w:p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2. Upoważnia się </w:t>
      </w:r>
      <w:r>
        <w:rPr>
          <w:rFonts w:ascii="Times New Roman" w:hAnsi="Times New Roman"/>
          <w:sz w:val="22"/>
          <w:lang w:val="pl-PL" w:bidi="pl-PL" w:eastAsia="pl-PL"/>
        </w:rPr>
        <w:t>Burmistrza Kcyni</w:t>
      </w:r>
      <w:r>
        <w:rPr>
          <w:rFonts w:ascii="Times New Roman" w:hAnsi="Times New Roman"/>
          <w:sz w:val="22"/>
        </w:rPr>
        <w:t xml:space="preserve"> do przekazania uprawnień do zaciągania zobowiązań, o których mowa w ust. 1</w:t>
      </w:r>
      <w:r>
        <w:rPr>
          <w:rFonts w:ascii="Times New Roman" w:hAnsi="Times New Roman"/>
          <w:sz w:val="22"/>
          <w:lang w:val="pl-PL" w:bidi="pl-PL" w:eastAsia="pl-PL"/>
        </w:rPr>
        <w:t xml:space="preserve"> pkt 2 </w:t>
      </w:r>
      <w:r>
        <w:rPr>
          <w:rFonts w:ascii="Times New Roman" w:hAnsi="Times New Roman"/>
          <w:sz w:val="22"/>
        </w:rPr>
        <w:t xml:space="preserve"> kierownikom jednostek organizacyjnych Gminy. </w:t>
      </w:r>
    </w:p>
    <w:p>
      <w:pPr>
        <w:jc w:val="both"/>
        <w:rPr>
          <w:rFonts w:ascii="Times New Roman" w:hAnsi="Times New Roman"/>
          <w:sz w:val="22"/>
          <w:lang w:val="pl-PL" w:bidi="pl-PL" w:eastAsia="pl-PL"/>
        </w:rPr>
      </w:pPr>
      <w:r>
        <w:rPr>
          <w:rFonts w:ascii="Times New Roman" w:hAnsi="Times New Roman"/>
          <w:sz w:val="22"/>
          <w:lang w:val="pl-PL" w:bidi="pl-PL" w:eastAsia="pl-PL"/>
        </w:rPr>
        <w:t>3. Upoważnia się Burmistrza Kcyni do dokonywania zmian limitów zobowiązań i kwot wydatków na realizację przedsięwzięć finansowanych z udziałem środków europejskich albo środków, o których mowa w art. 5 ust. 1 pkt 3 ustawy z dnia 27 sierpnia 2009 r. o finansach publicznych, w związku ze zmianami w realizacji takich przedsięwzieć, o ile zmiany te nie nie pogorszą wyniku budżetu dla ka</w:t>
      </w:r>
      <w:r>
        <w:rPr>
          <w:rFonts w:ascii="Times New Roman" w:hAnsi="Times New Roman"/>
          <w:sz w:val="22"/>
          <w:lang w:val="pl-PL" w:bidi="pl-PL" w:eastAsia="pl-PL"/>
        </w:rPr>
        <w:t>ż</w:t>
      </w:r>
      <w:r>
        <w:rPr>
          <w:rFonts w:ascii="Times New Roman" w:hAnsi="Times New Roman"/>
          <w:sz w:val="22"/>
          <w:lang w:val="pl-PL" w:bidi="pl-PL" w:eastAsia="pl-PL"/>
        </w:rPr>
        <w:t>dego roku objętego wieloletnią prognozą finansową. Upoważnieni</w:t>
      </w:r>
      <w:r>
        <w:rPr>
          <w:rFonts w:ascii="Times New Roman" w:hAnsi="Times New Roman"/>
          <w:sz w:val="22"/>
          <w:lang w:val="pl-PL" w:bidi="pl-PL" w:eastAsia="pl-PL"/>
        </w:rPr>
        <w:t>e</w:t>
      </w:r>
      <w:r>
        <w:rPr>
          <w:rFonts w:ascii="Times New Roman" w:hAnsi="Times New Roman"/>
          <w:sz w:val="22"/>
          <w:lang w:val="pl-PL" w:bidi="pl-PL" w:eastAsia="pl-PL"/>
        </w:rPr>
        <w:t xml:space="preserve"> to obejmuje także upoważnienie do dokonywania zmian środkó</w:t>
      </w:r>
      <w:r>
        <w:rPr>
          <w:rFonts w:ascii="Times New Roman" w:hAnsi="Times New Roman"/>
          <w:sz w:val="22"/>
          <w:lang w:val="pl-PL" w:bidi="pl-PL" w:eastAsia="pl-PL"/>
        </w:rPr>
        <w:t>w</w:t>
      </w:r>
      <w:r>
        <w:rPr>
          <w:rFonts w:ascii="Times New Roman" w:hAnsi="Times New Roman"/>
          <w:sz w:val="22"/>
          <w:lang w:val="pl-PL" w:bidi="pl-PL" w:eastAsia="pl-PL"/>
        </w:rPr>
        <w:t xml:space="preserve"> przeznaczonych na współfinansowanie realizacji przedsięwzięć, o których mowa w zdaniu pierwszym, w tym wkładu własnego beneficjenta</w:t>
      </w:r>
      <w:r>
        <w:rPr>
          <w:rFonts w:ascii="Times New Roman" w:hAnsi="Times New Roman"/>
          <w:sz w:val="22"/>
          <w:lang w:val="pl-PL" w:bidi="pl-PL" w:eastAsia="pl-PL"/>
        </w:rPr>
        <w:t>.</w:t>
      </w:r>
      <w:r>
        <w:rPr>
          <w:rFonts w:ascii="Times New Roman" w:hAnsi="Times New Roman"/>
          <w:sz w:val="22"/>
          <w:lang w:val="pl-PL" w:bidi="pl-PL" w:eastAsia="pl-PL"/>
        </w:rPr>
        <w:t xml:space="preserve"> </w:t>
      </w:r>
    </w:p>
    <w:p>
      <w:pPr>
        <w:jc w:val="both"/>
        <w:rPr>
          <w:rFonts w:ascii="Times New Roman" w:hAnsi="Times New Roman"/>
          <w:sz w:val="22"/>
          <w:lang w:val="pl-PL" w:bidi="pl-PL" w:eastAsia="pl-PL"/>
        </w:rPr>
      </w:pPr>
    </w:p>
    <w:p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4.</w:t>
      </w:r>
      <w:r>
        <w:rPr>
          <w:rFonts w:ascii="Times New Roman" w:hAnsi="Times New Roman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sz w:val="22"/>
        </w:rPr>
        <w:t xml:space="preserve">Upoważnia się </w:t>
      </w:r>
      <w:r>
        <w:rPr>
          <w:rFonts w:ascii="Times New Roman" w:hAnsi="Times New Roman"/>
          <w:sz w:val="22"/>
          <w:lang w:val="pl-PL" w:bidi="pl-PL" w:eastAsia="pl-PL"/>
        </w:rPr>
        <w:t>Burmistrza Kcynia</w:t>
      </w:r>
      <w:r>
        <w:rPr>
          <w:rFonts w:ascii="Times New Roman" w:hAnsi="Times New Roman"/>
          <w:sz w:val="22"/>
        </w:rPr>
        <w:t xml:space="preserve"> do dokonywania zmian w </w:t>
      </w:r>
      <w:r>
        <w:rPr>
          <w:rFonts w:ascii="Times New Roman" w:hAnsi="Times New Roman"/>
          <w:sz w:val="22"/>
          <w:lang w:val="pl-PL" w:bidi="pl-PL" w:eastAsia="pl-PL"/>
        </w:rPr>
        <w:t>W</w:t>
      </w:r>
      <w:r>
        <w:rPr>
          <w:rFonts w:ascii="Times New Roman" w:hAnsi="Times New Roman"/>
          <w:sz w:val="22"/>
        </w:rPr>
        <w:t xml:space="preserve">ieloletniej </w:t>
      </w:r>
      <w:r>
        <w:rPr>
          <w:rFonts w:ascii="Times New Roman" w:hAnsi="Times New Roman"/>
          <w:sz w:val="22"/>
          <w:lang w:val="pl-PL" w:bidi="pl-PL" w:eastAsia="pl-PL"/>
        </w:rPr>
        <w:t>P</w:t>
      </w:r>
      <w:r>
        <w:rPr>
          <w:rFonts w:ascii="Times New Roman" w:hAnsi="Times New Roman"/>
          <w:sz w:val="22"/>
        </w:rPr>
        <w:t xml:space="preserve">rognozie </w:t>
      </w:r>
      <w:r>
        <w:rPr>
          <w:rFonts w:ascii="Times New Roman" w:hAnsi="Times New Roman"/>
          <w:sz w:val="22"/>
          <w:lang w:val="pl-PL" w:bidi="pl-PL" w:eastAsia="pl-PL"/>
        </w:rPr>
        <w:t>F</w:t>
      </w:r>
      <w:r>
        <w:rPr>
          <w:rFonts w:ascii="Times New Roman" w:hAnsi="Times New Roman"/>
          <w:sz w:val="22"/>
        </w:rPr>
        <w:t>inansowej Gminy Kcynia, związanych z wprowadzeniem nowych inwestycji lub zakupów inwestycyjnych, w celu realizacji zadań związanych z pomocą obywatelom Ukrainy, w związku z konfliktem zbrojnym na terytorium tego państwa, o ile zmiana ta nie pogorszy wyniku budżetu Gminy Kcynia.</w:t>
      </w:r>
    </w:p>
    <w:p>
      <w:pPr>
        <w:jc w:val="both"/>
        <w:rPr>
          <w:rFonts w:ascii="Times New Roman" w:hAnsi="Times New Roman"/>
          <w:sz w:val="22"/>
        </w:rPr>
      </w:pPr>
    </w:p>
    <w:p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§</w:t>
      </w:r>
      <w:r>
        <w:rPr>
          <w:rFonts w:ascii="Times New Roman" w:hAnsi="Times New Roman"/>
          <w:sz w:val="22"/>
          <w:lang w:val="pl-PL" w:bidi="pl-PL" w:eastAsia="pl-PL"/>
        </w:rPr>
        <w:t>4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sz w:val="22"/>
        </w:rPr>
        <w:t xml:space="preserve">Wykonanie uchwały powierza się </w:t>
      </w:r>
      <w:r>
        <w:rPr>
          <w:rFonts w:ascii="Times New Roman" w:hAnsi="Times New Roman"/>
          <w:sz w:val="22"/>
          <w:lang w:val="pl-PL" w:bidi="pl-PL" w:eastAsia="pl-PL"/>
        </w:rPr>
        <w:t>Burmistrzowi Kcyni</w:t>
      </w:r>
      <w:r>
        <w:rPr>
          <w:rFonts w:ascii="Times New Roman" w:hAnsi="Times New Roman"/>
          <w:sz w:val="22"/>
        </w:rPr>
        <w:t>.</w:t>
      </w:r>
    </w:p>
    <w:p>
      <w:pPr>
        <w:jc w:val="both"/>
        <w:rPr>
          <w:rFonts w:ascii="Times New Roman" w:hAnsi="Times New Roman"/>
          <w:sz w:val="22"/>
        </w:rPr>
      </w:pPr>
    </w:p>
    <w:p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§</w:t>
      </w:r>
      <w:r>
        <w:rPr>
          <w:rFonts w:ascii="Times New Roman" w:hAnsi="Times New Roman"/>
          <w:sz w:val="22"/>
          <w:lang w:val="pl-PL" w:bidi="pl-PL" w:eastAsia="pl-PL"/>
        </w:rPr>
        <w:t>5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  <w:lang w:val="pl-PL" w:bidi="pl-PL" w:eastAsia="pl-PL"/>
        </w:rPr>
        <w:t xml:space="preserve"> </w:t>
      </w:r>
      <w:r>
        <w:rPr>
          <w:rFonts w:ascii="Times New Roman" w:hAnsi="Times New Roman"/>
          <w:sz w:val="22"/>
        </w:rPr>
        <w:t xml:space="preserve">Traci moc Uchwała Rady Miejskiej w Kcyni Nr </w:t>
      </w:r>
      <w:r>
        <w:rPr>
          <w:rFonts w:ascii="Times New Roman" w:hAnsi="Times New Roman"/>
          <w:sz w:val="22"/>
          <w:lang w:val="pl-PL" w:bidi="pl-PL" w:eastAsia="pl-PL"/>
        </w:rPr>
        <w:t>LIV</w:t>
      </w:r>
      <w:r>
        <w:rPr>
          <w:rFonts w:ascii="Times New Roman" w:hAnsi="Times New Roman"/>
          <w:sz w:val="22"/>
        </w:rPr>
        <w:t>/</w:t>
      </w:r>
      <w:r>
        <w:rPr>
          <w:rFonts w:ascii="Times New Roman" w:hAnsi="Times New Roman"/>
          <w:sz w:val="22"/>
          <w:lang w:val="pl-PL" w:bidi="pl-PL" w:eastAsia="pl-PL"/>
        </w:rPr>
        <w:t>424</w:t>
      </w:r>
      <w:r>
        <w:rPr>
          <w:rFonts w:ascii="Times New Roman" w:hAnsi="Times New Roman"/>
          <w:sz w:val="22"/>
        </w:rPr>
        <w:t>/202</w:t>
      </w:r>
      <w:r>
        <w:rPr>
          <w:rFonts w:ascii="Times New Roman" w:hAnsi="Times New Roman"/>
          <w:sz w:val="22"/>
          <w:lang w:val="pl-PL" w:bidi="pl-PL" w:eastAsia="pl-PL"/>
        </w:rPr>
        <w:t>2</w:t>
      </w:r>
      <w:r>
        <w:rPr>
          <w:rFonts w:ascii="Times New Roman" w:hAnsi="Times New Roman"/>
          <w:sz w:val="22"/>
        </w:rPr>
        <w:t xml:space="preserve"> z dnia 1</w:t>
      </w:r>
      <w:r>
        <w:rPr>
          <w:rFonts w:ascii="Times New Roman" w:hAnsi="Times New Roman"/>
          <w:sz w:val="22"/>
          <w:lang w:val="pl-PL" w:bidi="pl-PL" w:eastAsia="pl-PL"/>
        </w:rPr>
        <w:t>5</w:t>
      </w:r>
      <w:r>
        <w:rPr>
          <w:rFonts w:ascii="Times New Roman" w:hAnsi="Times New Roman"/>
          <w:sz w:val="22"/>
        </w:rPr>
        <w:t xml:space="preserve"> grudnia 202</w:t>
      </w:r>
      <w:r>
        <w:rPr>
          <w:rFonts w:ascii="Times New Roman" w:hAnsi="Times New Roman"/>
          <w:sz w:val="22"/>
          <w:lang w:val="pl-PL" w:bidi="pl-PL" w:eastAsia="pl-PL"/>
        </w:rPr>
        <w:t>2</w:t>
      </w:r>
      <w:r>
        <w:rPr>
          <w:rFonts w:ascii="Times New Roman" w:hAnsi="Times New Roman"/>
          <w:sz w:val="22"/>
        </w:rPr>
        <w:t xml:space="preserve"> r. w sprawie Wieloletniej Prognozy Finansowej Gminy Kcynia na lata 202</w:t>
      </w:r>
      <w:r>
        <w:rPr>
          <w:rFonts w:ascii="Times New Roman" w:hAnsi="Times New Roman"/>
          <w:sz w:val="22"/>
          <w:lang w:val="pl-PL" w:bidi="pl-PL" w:eastAsia="pl-PL"/>
        </w:rPr>
        <w:t>3</w:t>
      </w:r>
      <w:r>
        <w:rPr>
          <w:rFonts w:ascii="Times New Roman" w:hAnsi="Times New Roman"/>
          <w:sz w:val="22"/>
        </w:rPr>
        <w:t>-20</w:t>
      </w:r>
      <w:r>
        <w:rPr>
          <w:rFonts w:ascii="Times New Roman" w:hAnsi="Times New Roman"/>
          <w:sz w:val="22"/>
          <w:lang w:val="pl-PL" w:bidi="pl-PL" w:eastAsia="pl-PL"/>
        </w:rPr>
        <w:t>40</w:t>
      </w:r>
      <w:r>
        <w:rPr>
          <w:rFonts w:ascii="Times New Roman" w:hAnsi="Times New Roman"/>
          <w:sz w:val="22"/>
        </w:rPr>
        <w:t xml:space="preserve"> z późn. zmianami.</w:t>
      </w:r>
    </w:p>
    <w:p>
      <w:pPr>
        <w:jc w:val="both"/>
        <w:rPr>
          <w:rFonts w:ascii="Times New Roman" w:hAnsi="Times New Roman"/>
          <w:sz w:val="22"/>
        </w:rPr>
      </w:pPr>
    </w:p>
    <w:p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§</w:t>
      </w:r>
      <w:r>
        <w:rPr>
          <w:rFonts w:ascii="Times New Roman" w:hAnsi="Times New Roman"/>
          <w:sz w:val="22"/>
          <w:lang w:val="pl-PL" w:bidi="pl-PL" w:eastAsia="pl-PL"/>
        </w:rPr>
        <w:t>6</w:t>
      </w:r>
      <w:r>
        <w:rPr>
          <w:rFonts w:ascii="Times New Roman" w:hAnsi="Times New Roman"/>
          <w:sz w:val="22"/>
        </w:rPr>
        <w:t>.</w:t>
        <w:tab/>
        <w:t>Uchwała wchodzi w życie z dniem 1 stycznia 202</w:t>
      </w:r>
      <w:r>
        <w:rPr>
          <w:rFonts w:ascii="Times New Roman" w:hAnsi="Times New Roman"/>
          <w:sz w:val="22"/>
          <w:lang w:val="pl-PL" w:bidi="pl-PL" w:eastAsia="pl-PL"/>
        </w:rPr>
        <w:t>4</w:t>
      </w:r>
      <w:r>
        <w:rPr>
          <w:rFonts w:ascii="Times New Roman" w:hAnsi="Times New Roman"/>
          <w:sz w:val="22"/>
        </w:rPr>
        <w:t xml:space="preserve"> r.</w:t>
      </w:r>
    </w:p>
    <w:p>
      <w:pPr>
        <w:jc w:val="both"/>
        <w:rPr>
          <w:rFonts w:ascii="Times New Roman" w:hAnsi="Times New Roman"/>
          <w:sz w:val="22"/>
        </w:rPr>
      </w:pPr>
    </w:p>
    <w:tbl>
      <w:tblPr>
        <w:tblStyle w:val="T1"/>
        <w:tblW w:w="5000" w:type="pct"/>
        <w:tblBorders>
          <w:top w:val="none" w:sz="4" w:space="0" w:shadow="0" w:frame="0" w:color="000000"/>
          <w:left w:val="none" w:sz="4" w:space="0" w:shadow="0" w:frame="0" w:color="000000"/>
          <w:bottom w:val="none" w:sz="4" w:space="0" w:shadow="0" w:frame="0" w:color="000000"/>
          <w:right w:val="none" w:sz="4" w:space="0" w:shadow="0" w:frame="0" w:color="000000"/>
        </w:tblBorders>
        <w:tblLook w:val="04A0"/>
      </w:tblPr>
      <w:tblGrid/>
      <w:tr>
        <w:tc>
          <w:tcPr>
            <w:tcW w:w="2500" w:type="pct"/>
            <w:tcBorders>
              <w:right w:val="none" w:sz="4" w:space="0" w:shadow="0" w:frame="0" w:color="000000"/>
            </w:tcBorders>
            <w:vAlign w:val="top"/>
          </w:tcPr>
          <w:p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500" w:type="pct"/>
            <w:tcBorders>
              <w:left w:val="none" w:sz="4" w:space="0" w:shadow="0" w:frame="0" w:color="000000"/>
            </w:tcBorders>
            <w:vAlign w:val="top"/>
          </w:tcPr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fldChar w:fldCharType="begin"/>
            </w:r>
            <w:r>
              <w:rPr>
                <w:rFonts w:ascii="Times New Roman" w:hAnsi="Times New Roman"/>
                <w:sz w:val="22"/>
              </w:rPr>
              <w:instrText>SIGNATURE_0_1_FUNCTION</w:instrText>
            </w:r>
            <w:r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sz w:val="22"/>
              </w:rPr>
              <w:t>Przewodniczący Rady Miejskiej w Kcyni</w:t>
            </w:r>
            <w:r>
              <w:rPr>
                <w:rFonts w:ascii="Times New Roman" w:hAnsi="Times New Roman"/>
                <w:sz w:val="22"/>
              </w:rPr>
              <w:fldChar w:fldCharType="end"/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  <w:p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lang w:val="pl-PL" w:bidi="pl-PL" w:eastAsia="pl-PL"/>
              </w:rPr>
              <w:t>...................</w:t>
            </w:r>
          </w:p>
        </w:tc>
      </w:tr>
    </w:tbl>
    <w:p>
      <w:pPr>
        <w:jc w:val="both"/>
        <w:rPr>
          <w:rFonts w:ascii="Times New Roman" w:hAnsi="Times New Roman"/>
          <w:sz w:val="22"/>
        </w:rPr>
      </w:pPr>
    </w:p>
    <w:sectPr>
      <w:type w:val="nextPage"/>
      <w:pgSz w:w="11906" w:h="16838" w:code="0"/>
      <w:pgMar w:left="1417" w:right="1417" w:top="992" w:bottom="992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1A897DAB"/>
    <w:multiLevelType w:val="multilevel"/>
    <w:lvl w:ilvl="0">
      <w:start w:val="1"/>
      <w:numFmt w:val="decimal"/>
      <w:suff w:val="tab"/>
      <w:lvlText w:val="%1)"/>
      <w:lvlJc w:val="left"/>
      <w:pPr>
        <w:ind w:hanging="425" w:left="709"/>
      </w:pPr>
      <w:rPr/>
    </w:lvl>
    <w:lvl w:ilvl="1">
      <w:start w:val="1"/>
      <w:numFmt w:val="decimal"/>
      <w:suff w:val="tab"/>
      <w:lvlText w:val="%1."/>
      <w:lvlJc w:val="left"/>
      <w:pPr>
        <w:ind w:hanging="425" w:left="1417"/>
      </w:pPr>
      <w:rPr/>
    </w:lvl>
    <w:lvl w:ilvl="2">
      <w:start w:val="1"/>
      <w:numFmt w:val="decimal"/>
      <w:suff w:val="tab"/>
      <w:lvlText w:val="%1."/>
      <w:lvlJc w:val="left"/>
      <w:pPr>
        <w:ind w:hanging="425" w:left="2126"/>
      </w:pPr>
      <w:rPr/>
    </w:lvl>
    <w:lvl w:ilvl="3">
      <w:start w:val="1"/>
      <w:numFmt w:val="decimal"/>
      <w:suff w:val="tab"/>
      <w:lvlText w:val="%1."/>
      <w:lvlJc w:val="left"/>
      <w:pPr/>
      <w:rPr/>
    </w:lvl>
    <w:lvl w:ilvl="4">
      <w:start w:val="1"/>
      <w:numFmt w:val="decimal"/>
      <w:suff w:val="tab"/>
      <w:lvlText w:val="%1."/>
      <w:lvlJc w:val="left"/>
      <w:pPr/>
      <w:rPr/>
    </w:lvl>
    <w:lvl w:ilvl="5">
      <w:start w:val="1"/>
      <w:numFmt w:val="decimal"/>
      <w:suff w:val="tab"/>
      <w:lvlText w:val="%1."/>
      <w:lvlJc w:val="left"/>
      <w:pPr/>
      <w:rPr/>
    </w:lvl>
    <w:lvl w:ilvl="6">
      <w:start w:val="1"/>
      <w:numFmt w:val="decimal"/>
      <w:suff w:val="tab"/>
      <w:lvlText w:val="%1."/>
      <w:lvlJc w:val="left"/>
      <w:pPr/>
      <w:rPr/>
    </w:lvl>
    <w:lvl w:ilvl="7">
      <w:start w:val="1"/>
      <w:numFmt w:val="decimal"/>
      <w:suff w:val="tab"/>
      <w:lvlText w:val="%1."/>
      <w:lvlJc w:val="left"/>
      <w:pPr/>
      <w:rPr/>
    </w:lvl>
    <w:lvl w:ilvl="8">
      <w:start w:val="1"/>
      <w:numFmt w:val="decimal"/>
      <w:suff w:val="tab"/>
      <w:lvlText w:val="%1."/>
      <w:lvlJc w:val="left"/>
      <w:pPr/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Title"/>
    <w:basedOn w:val="P0"/>
    <w:next w:val="P0"/>
    <w:pPr>
      <w:spacing w:before="160" w:after="320" w:beforeAutospacing="0" w:afterAutospacing="0"/>
      <w:jc w:val="center"/>
    </w:pPr>
    <w:rPr>
      <w:rFonts w:ascii="Arial" w:hAnsi="Arial"/>
      <w:b w:val="1"/>
      <w:color w:val="auto"/>
      <w:sz w:val="32"/>
      <w:shd w:val="clear" w:color="auto" w:fill="auto"/>
    </w:rPr>
  </w:style>
  <w:style w:type="paragraph" w:styleId="P2">
    <w:name w:val="Subtitle"/>
    <w:basedOn w:val="P0"/>
    <w:next w:val="P0"/>
    <w:pPr>
      <w:spacing w:before="160" w:after="320" w:beforeAutospacing="0" w:afterAutospacing="0"/>
      <w:jc w:val="center"/>
    </w:pPr>
    <w:rPr>
      <w:rFonts w:ascii="Arial" w:hAnsi="Arial"/>
      <w:color w:val="auto"/>
      <w:sz w:val="28"/>
      <w:shd w:val="clear" w:color="auto" w:fill="auto"/>
    </w:rPr>
  </w:style>
  <w:style w:type="paragraph" w:styleId="P3">
    <w:name w:val="List Paragraph"/>
    <w:basedOn w:val="P0"/>
    <w:next w:val="P0"/>
    <w:pPr>
      <w:spacing w:after="160" w:beforeAutospacing="0" w:afterAutospacing="0"/>
      <w:contextualSpacing w:val="1"/>
      <w:jc w:val="left"/>
    </w:pPr>
    <w:rPr>
      <w:rFonts w:ascii="Arial" w:hAnsi="Arial"/>
      <w:color w:val="auto"/>
      <w:sz w:val="20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 Kołos</dc:creator>
  <dcterms:created xsi:type="dcterms:W3CDTF">2022-11-15T08:53:18Z</dcterms:created>
  <cp:lastModifiedBy>Patrycja Kołos</cp:lastModifiedBy>
  <dcterms:modified xsi:type="dcterms:W3CDTF">2023-11-15T13:57:22Z</dcterms:modified>
  <cp:revision>51</cp:revision>
</cp:coreProperties>
</file>